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0682"/>
      </w:tblGrid>
      <w:tr w:rsidR="00362653" w:rsidRPr="002C21B3" w:rsidTr="00514C59">
        <w:tc>
          <w:tcPr>
            <w:tcW w:w="10598" w:type="dxa"/>
          </w:tcPr>
          <w:p w:rsidR="00362653" w:rsidRDefault="00362653" w:rsidP="00514C59">
            <w:pPr>
              <w:pStyle w:val="Normal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4"/>
              <w:gridCol w:w="222"/>
            </w:tblGrid>
            <w:tr w:rsidR="00362653" w:rsidTr="00514C59">
              <w:tc>
                <w:tcPr>
                  <w:tcW w:w="8075" w:type="dxa"/>
                </w:tcPr>
                <w:p w:rsidR="00362653" w:rsidRDefault="00362653" w:rsidP="00514C59">
                  <w:pPr>
                    <w:pStyle w:val="NormalWeb"/>
                    <w:shd w:val="clear" w:color="auto" w:fill="FFFFFF"/>
                    <w:spacing w:after="0" w:afterAutospacing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62653" w:rsidRDefault="00362653" w:rsidP="00362653">
                  <w:pPr>
                    <w:pStyle w:val="NormalWeb"/>
                    <w:shd w:val="clear" w:color="auto" w:fill="FFFFFF"/>
                    <w:spacing w:after="0" w:afterAutospacing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C21B3">
                    <w:rPr>
                      <w:rFonts w:ascii="Arial" w:hAnsi="Arial" w:cs="Arial"/>
                      <w:b/>
                      <w:sz w:val="28"/>
                      <w:szCs w:val="28"/>
                    </w:rPr>
                    <w:t>FORMACIÓN Y ORIENTACIÓN LABORAL</w:t>
                  </w:r>
                </w:p>
                <w:p w:rsidR="00362653" w:rsidRPr="00362653" w:rsidRDefault="00B8351E" w:rsidP="00362653">
                  <w:pPr>
                    <w:pStyle w:val="NormalWeb"/>
                    <w:shd w:val="clear" w:color="auto" w:fill="FFFFFF"/>
                    <w:spacing w:after="0" w:afterAutospacing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UD 6</w:t>
                  </w:r>
                  <w:r w:rsidR="00362653" w:rsidRPr="002C21B3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: CUESTIONES DE AUTOEVALUACIÓN</w:t>
                  </w:r>
                  <w:r w:rsidR="00362653"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t xml:space="preserve">              </w:t>
                  </w:r>
                </w:p>
                <w:p w:rsidR="00362653" w:rsidRDefault="00362653" w:rsidP="00362653"/>
                <w:tbl>
                  <w:tblPr>
                    <w:tblStyle w:val="Tablaconcuadrcula"/>
                    <w:tblW w:w="10093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5841"/>
                    <w:gridCol w:w="4252"/>
                  </w:tblGrid>
                  <w:tr w:rsidR="00362653" w:rsidTr="00362653">
                    <w:tc>
                      <w:tcPr>
                        <w:tcW w:w="5841" w:type="dxa"/>
                      </w:tcPr>
                      <w:p w:rsidR="00362653" w:rsidRDefault="00362653" w:rsidP="00514C59">
                        <w:pPr>
                          <w:jc w:val="center"/>
                          <w:rPr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362653" w:rsidRDefault="00362653" w:rsidP="00514C59">
                        <w:pPr>
                          <w:jc w:val="center"/>
                          <w:rPr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70C0"/>
                            <w:sz w:val="28"/>
                            <w:szCs w:val="28"/>
                          </w:rPr>
                          <w:t xml:space="preserve">                                    EL CONTRATO DE TRABAJO          </w:t>
                        </w:r>
                      </w:p>
                      <w:p w:rsidR="00362653" w:rsidRPr="005408E1" w:rsidRDefault="00362653" w:rsidP="00514C59">
                        <w:pPr>
                          <w:rPr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362653" w:rsidRPr="005408E1" w:rsidRDefault="00362653" w:rsidP="00514C5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408E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Cuestiones a resolver: </w:t>
                        </w:r>
                      </w:p>
                      <w:p w:rsidR="00362653" w:rsidRDefault="00362653" w:rsidP="00514C59"/>
                    </w:tc>
                    <w:tc>
                      <w:tcPr>
                        <w:tcW w:w="4252" w:type="dxa"/>
                      </w:tcPr>
                      <w:p w:rsidR="00362653" w:rsidRDefault="00362653" w:rsidP="00514C59">
                        <w:pPr>
                          <w:rPr>
                            <w:noProof/>
                            <w:lang w:eastAsia="es-ES"/>
                          </w:rPr>
                        </w:pPr>
                        <w:r>
                          <w:rPr>
                            <w:noProof/>
                            <w:lang w:eastAsia="es-ES"/>
                          </w:rPr>
                          <w:t xml:space="preserve">                                             </w:t>
                        </w:r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7B852A9C" wp14:editId="3EC0A187">
                              <wp:extent cx="1250620" cy="850605"/>
                              <wp:effectExtent l="19050" t="0" r="6680" b="0"/>
                              <wp:docPr id="2" name="0 Imagen" descr="descarga8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scarga88.jpe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7679" cy="8554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62653" w:rsidRDefault="00362653" w:rsidP="00514C59"/>
                    </w:tc>
                  </w:tr>
                </w:tbl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1.- ¿Cuáles son los requisitos que deben existir para que se reconozca la capacidad del trabajador para ce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lebrar un contrato de trabajo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?¿</w:t>
                  </w:r>
                  <w:proofErr w:type="gramEnd"/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Y del empresario?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2.- ¿Qué son los elementos sustanciales del contrato? Cítalos y defínelos.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3.- ¿</w:t>
                  </w: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Cuál debería ser la forma de un contrato eventual por circunstancias de la producción de duración 3 semanas</w:t>
                  </w:r>
                  <w:proofErr w:type="gramStart"/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?¿</w:t>
                  </w:r>
                  <w:proofErr w:type="gramEnd"/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Y de 5 semanas?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4.- ¿</w:t>
                  </w: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 xml:space="preserve">Cuál es el contenido básico de un contrato laboral? Si lo hubiesen, ¿Cuáles podrían ser las clausulas voluntarias? 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5.- Con respecto a la jornada laboral 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la modalidad de contratación ¿</w:t>
                  </w: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Cómo se presumirá la duración de un contrato de forma verbal?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6.- ¿</w:t>
                  </w: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Qué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es el periodo de prueba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?¿</w:t>
                  </w:r>
                  <w:proofErr w:type="gramEnd"/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En qué casos es aplicable? ¿En qué casos podrá el Convenio Colectivo establecido? ¿Y si el Convenio Colectivo no lo estipulase, dónde podría realizarse esta consulta?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7.- ¿Cuál será la duración del periodo de prueba de acuerdo a las distintas modalidades del contrato?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8.- Los contratos formativos ¿Por qué se caracterizan? Cita los tipos existentes.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9.- Los contratos temporales ¿Por qué se caracterizan? Cita los tipos existentes.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10.- Los contratos tiempo parcial ¿Por qué se caracterizan? Cita los tipos existentes.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11.- Los contratos indefinidos ¿Por qué se caracterizan? Cita los tipos existentes.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12.- Define ETT y empresa usuaria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13.- ¿En qué circunstancias firmará a ETT un contrato mercantil? ¿Y, en cuáles se firmará un contrato laboral?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14.- ¿Cuáles son las responsabilidades de la ETT frente al trabajador?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15.-  Cita los requisitos que debe cumplir el autónomo para considerarse económicamente dependiente.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8E1">
                    <w:rPr>
                      <w:rFonts w:ascii="Arial" w:hAnsi="Arial" w:cs="Arial"/>
                      <w:sz w:val="24"/>
                      <w:szCs w:val="24"/>
                    </w:rPr>
                    <w:t>16.- ¿Cuáles son las diferencias entre el teletrabajo y el trabajo a distancia?</w:t>
                  </w:r>
                </w:p>
                <w:p w:rsidR="00362653" w:rsidRPr="005408E1" w:rsidRDefault="00362653" w:rsidP="003626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66261" w:rsidRDefault="00A66261" w:rsidP="00514C59">
                  <w:pPr>
                    <w:pStyle w:val="NormalWeb"/>
                    <w:spacing w:after="0" w:afterAutospacing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66261" w:rsidRDefault="00A66261" w:rsidP="00514C59">
                  <w:pPr>
                    <w:pStyle w:val="NormalWeb"/>
                    <w:spacing w:after="0" w:afterAutospacing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66261" w:rsidRDefault="00A66261" w:rsidP="00514C59">
                  <w:pPr>
                    <w:pStyle w:val="NormalWeb"/>
                    <w:spacing w:after="0" w:afterAutospacing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66261" w:rsidRDefault="00A66261" w:rsidP="00514C59">
                  <w:pPr>
                    <w:pStyle w:val="NormalWeb"/>
                    <w:spacing w:after="0" w:afterAutospacing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92" w:type="dxa"/>
                </w:tcPr>
                <w:p w:rsidR="00362653" w:rsidRDefault="00362653" w:rsidP="00514C59">
                  <w:pPr>
                    <w:pStyle w:val="NormalWeb"/>
                    <w:spacing w:after="0" w:afterAutospacing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62653" w:rsidRDefault="00362653" w:rsidP="00514C59">
                  <w:pPr>
                    <w:pStyle w:val="NormalWeb"/>
                    <w:spacing w:after="0" w:afterAutospacing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62653" w:rsidRPr="002A6FB2" w:rsidRDefault="00362653" w:rsidP="00514C5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:rsidR="00362653" w:rsidRPr="0068091D" w:rsidRDefault="00362653" w:rsidP="00A66261">
            <w:pPr>
              <w:shd w:val="clear" w:color="auto" w:fill="FFFFFF"/>
            </w:pPr>
            <w:r>
              <w:rPr>
                <w:b/>
                <w:color w:val="0070C0"/>
              </w:rPr>
              <w:t>Estas preguntas no puntúan</w:t>
            </w:r>
            <w:r w:rsidR="00B8351E">
              <w:rPr>
                <w:b/>
                <w:color w:val="0070C0"/>
              </w:rPr>
              <w:t xml:space="preserve"> extra para el examen de la UD 6</w:t>
            </w:r>
          </w:p>
        </w:tc>
      </w:tr>
    </w:tbl>
    <w:p w:rsidR="00362653" w:rsidRPr="002A6FB2" w:rsidRDefault="00362653" w:rsidP="00362653"/>
    <w:p w:rsidR="005938C0" w:rsidRDefault="005938C0"/>
    <w:sectPr w:rsidR="005938C0" w:rsidSect="002C2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87"/>
    <w:rsid w:val="00362653"/>
    <w:rsid w:val="005938C0"/>
    <w:rsid w:val="00606B87"/>
    <w:rsid w:val="00A66261"/>
    <w:rsid w:val="00B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6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6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 Martinez Isern</dc:creator>
  <cp:lastModifiedBy>Laurita Martinez Isern</cp:lastModifiedBy>
  <cp:revision>3</cp:revision>
  <dcterms:created xsi:type="dcterms:W3CDTF">2017-12-24T11:06:00Z</dcterms:created>
  <dcterms:modified xsi:type="dcterms:W3CDTF">2017-12-27T20:06:00Z</dcterms:modified>
</cp:coreProperties>
</file>